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410CB" w14:textId="77777777" w:rsidR="000472B6" w:rsidRPr="00404A69" w:rsidRDefault="006E238E" w:rsidP="006E238E">
      <w:r w:rsidRPr="00404A69">
        <w:t>Comments:</w:t>
      </w:r>
    </w:p>
    <w:p w14:paraId="15F4E675" w14:textId="77777777" w:rsidR="006E238E" w:rsidRPr="00404A69" w:rsidRDefault="006E238E" w:rsidP="006E238E">
      <w:r w:rsidRPr="00404A69">
        <w:t>@1: Thank you for your suppo</w:t>
      </w:r>
      <w:r w:rsidR="00601BF2">
        <w:t>r</w:t>
      </w:r>
      <w:r w:rsidRPr="00404A69">
        <w:t>t</w:t>
      </w:r>
    </w:p>
    <w:p w14:paraId="6F39DE82" w14:textId="77777777" w:rsidR="006E238E" w:rsidRPr="00404A69" w:rsidRDefault="006E238E" w:rsidP="006E238E">
      <w:r w:rsidRPr="00404A69">
        <w:t>@2: We followed up on this in the introduction</w:t>
      </w:r>
    </w:p>
    <w:p w14:paraId="1A1A106C" w14:textId="77777777" w:rsidR="006E238E" w:rsidRPr="00404A69" w:rsidRDefault="006E238E" w:rsidP="006E238E">
      <w:r w:rsidRPr="00404A69">
        <w:t>@3: has been clarified in the introduction</w:t>
      </w:r>
    </w:p>
    <w:p w14:paraId="74F4C7FD" w14:textId="77777777" w:rsidR="006E238E" w:rsidRPr="00404A69" w:rsidRDefault="006E238E" w:rsidP="006E238E">
      <w:r w:rsidRPr="00404A69">
        <w:t xml:space="preserve">@4: Thank you </w:t>
      </w:r>
      <w:r w:rsidR="00404A69">
        <w:t>for</w:t>
      </w:r>
      <w:r w:rsidRPr="00404A69">
        <w:t xml:space="preserve"> the suggestion, we changed the title and agree with you that it now better covers the content of the article</w:t>
      </w:r>
    </w:p>
    <w:p w14:paraId="6DA91D0F" w14:textId="77777777" w:rsidR="00404A69" w:rsidRPr="00404A69" w:rsidRDefault="006E238E" w:rsidP="00DA0393">
      <w:r w:rsidRPr="00404A69">
        <w:rPr>
          <w:highlight w:val="yellow"/>
        </w:rPr>
        <w:t>@5:</w:t>
      </w:r>
      <w:r w:rsidRPr="00404A69">
        <w:t xml:space="preserve"> </w:t>
      </w:r>
      <w:r w:rsidR="00193771" w:rsidRPr="00404A69">
        <w:t xml:space="preserve">Zahra </w:t>
      </w:r>
      <w:r w:rsidR="00404A69">
        <w:t>states</w:t>
      </w:r>
      <w:r w:rsidR="00193771" w:rsidRPr="00404A69">
        <w:t xml:space="preserve"> </w:t>
      </w:r>
      <w:r w:rsidR="00404A69">
        <w:t>t</w:t>
      </w:r>
      <w:r w:rsidR="00193771" w:rsidRPr="00404A69">
        <w:t xml:space="preserve">hat “Hayek proposes that entrepreneurial opportunities can only be discovered and acted upon at a very local level. The implication is that distant actors generally lack the relevant facts and knowledge essential to identify, frame and evaluate a potential opportunity”(p524). </w:t>
      </w:r>
      <w:r w:rsidR="00404A69">
        <w:t xml:space="preserve">Hayek argued that </w:t>
      </w:r>
      <w:r w:rsidR="00F33EA7">
        <w:t xml:space="preserve">in a world of imperfect information, </w:t>
      </w:r>
      <w:r w:rsidR="00404A69">
        <w:t xml:space="preserve">an entrepreneur </w:t>
      </w:r>
      <w:r w:rsidR="00F33EA7">
        <w:t>makes</w:t>
      </w:r>
      <w:r w:rsidR="00404A69">
        <w:t xml:space="preserve"> the gap between his knowledge </w:t>
      </w:r>
      <w:r w:rsidR="00F33EA7">
        <w:t xml:space="preserve">and that of others into an entrepreneurial opportunity </w:t>
      </w:r>
    </w:p>
    <w:p w14:paraId="0BCCB4E0" w14:textId="77777777" w:rsidR="005D086E" w:rsidRPr="00404A69" w:rsidRDefault="00193771" w:rsidP="00DA0393">
      <w:proofErr w:type="spellStart"/>
      <w:r w:rsidRPr="00404A69">
        <w:t>Kirzner</w:t>
      </w:r>
      <w:proofErr w:type="spellEnd"/>
      <w:r w:rsidRPr="00404A69">
        <w:t xml:space="preserve">, who’s </w:t>
      </w:r>
      <w:proofErr w:type="spellStart"/>
      <w:r w:rsidRPr="00404A69">
        <w:t>idesa</w:t>
      </w:r>
      <w:proofErr w:type="spellEnd"/>
      <w:r w:rsidRPr="00404A69">
        <w:t xml:space="preserve"> served as a model for Zahra’s ‘social constructionist’, did not deny the need for local knowledge, but rather focussed on ‘entrepreneurial alertness’</w:t>
      </w:r>
      <w:r w:rsidR="00DA0393" w:rsidRPr="00404A69">
        <w:t xml:space="preserve"> as the factor that most clearly distinguishes the entrepreneur from a non-entrepreneur. Tang et al (DOI: 10.1016/j.jbusvent.2010.07.001) </w:t>
      </w:r>
      <w:proofErr w:type="gramStart"/>
      <w:r w:rsidR="00DA0393" w:rsidRPr="00404A69">
        <w:t>write that</w:t>
      </w:r>
      <w:proofErr w:type="gramEnd"/>
      <w:r w:rsidR="00DA0393" w:rsidRPr="00404A69">
        <w:t xml:space="preserve"> “</w:t>
      </w:r>
      <w:proofErr w:type="spellStart"/>
      <w:r w:rsidR="00DA0393" w:rsidRPr="00404A69">
        <w:t>Kirzner</w:t>
      </w:r>
      <w:proofErr w:type="spellEnd"/>
      <w:r w:rsidR="00DA0393" w:rsidRPr="00404A69">
        <w:t xml:space="preserve"> (1979) defined alertness as an individual's ability to identify opportunities which are overlooked by others. In further developing the boundaries of alertness, we argue that an important component of alertness is the aspect of judgment which focuses on evaluating the new changes, shifts, and information and deciding if they would reflect a business opportunity with profit potentials. We define alertness as consisting of three distinct elements: scanning and searching for information, connecting previously-disparate information, and making evaluations on the existence of profitable business opportunities.” Alertness as such, cannot exist </w:t>
      </w:r>
      <w:r w:rsidR="007A253D" w:rsidRPr="00404A69">
        <w:t>without</w:t>
      </w:r>
      <w:r w:rsidR="00DA0393" w:rsidRPr="00404A69">
        <w:t xml:space="preserve"> </w:t>
      </w:r>
      <w:r w:rsidR="007A253D" w:rsidRPr="00404A69">
        <w:t>knowledge</w:t>
      </w:r>
      <w:r w:rsidR="00DA0393" w:rsidRPr="00404A69">
        <w:t xml:space="preserve"> of the local situation. The argument, instead, is more </w:t>
      </w:r>
      <w:r w:rsidR="007A253D" w:rsidRPr="00404A69">
        <w:t>like</w:t>
      </w:r>
      <w:r w:rsidR="00DA0393" w:rsidRPr="00404A69">
        <w:t xml:space="preserve">: as everybody has or could have the same information, what really distinguishes the entrepreneur is the alertness to see the opportunities embedded in this information. That is why we reed </w:t>
      </w:r>
      <w:proofErr w:type="spellStart"/>
      <w:r w:rsidR="00DA0393" w:rsidRPr="00404A69">
        <w:t>Zarah</w:t>
      </w:r>
      <w:r w:rsidR="005D086E" w:rsidRPr="00404A69">
        <w:t>’</w:t>
      </w:r>
      <w:r w:rsidR="00DA0393" w:rsidRPr="00404A69">
        <w:t>s</w:t>
      </w:r>
      <w:proofErr w:type="spellEnd"/>
      <w:r w:rsidR="00DA0393" w:rsidRPr="00404A69">
        <w:t xml:space="preserve"> </w:t>
      </w:r>
      <w:r w:rsidR="005D086E" w:rsidRPr="00404A69">
        <w:t xml:space="preserve">sentence: </w:t>
      </w:r>
      <w:r w:rsidRPr="00404A69">
        <w:t>“opportunities do not necessarily arise from</w:t>
      </w:r>
      <w:r w:rsidR="00DA0393" w:rsidRPr="00404A69">
        <w:t xml:space="preserve"> </w:t>
      </w:r>
      <w:r w:rsidRPr="00404A69">
        <w:t xml:space="preserve">an entrepreneur's specific local knowledge, but rather from their alertness to opportunities which they leverage by developing </w:t>
      </w:r>
      <w:proofErr w:type="gramStart"/>
      <w:r w:rsidRPr="00404A69">
        <w:t>products,…”</w:t>
      </w:r>
      <w:proofErr w:type="gramEnd"/>
      <w:r w:rsidRPr="00404A69">
        <w:t xml:space="preserve"> not as a negation o</w:t>
      </w:r>
      <w:r w:rsidR="00DA0393" w:rsidRPr="00404A69">
        <w:t>f</w:t>
      </w:r>
      <w:r w:rsidRPr="00404A69">
        <w:t xml:space="preserve"> the importance of local knowledge, but rather as a comparison on what elements are most important for recognising or developing</w:t>
      </w:r>
      <w:r w:rsidR="00DA0393" w:rsidRPr="00404A69">
        <w:t xml:space="preserve"> entrepreneurial opportunities – in line with </w:t>
      </w:r>
      <w:proofErr w:type="spellStart"/>
      <w:r w:rsidR="00DA0393" w:rsidRPr="00404A69">
        <w:t>Kirzner’s</w:t>
      </w:r>
      <w:proofErr w:type="spellEnd"/>
      <w:r w:rsidR="00DA0393" w:rsidRPr="00404A69">
        <w:t xml:space="preserve"> argumentation. </w:t>
      </w:r>
    </w:p>
    <w:p w14:paraId="4743A28F" w14:textId="77777777" w:rsidR="005D086E" w:rsidRPr="00404A69" w:rsidRDefault="00DA0393" w:rsidP="00DA0393">
      <w:proofErr w:type="spellStart"/>
      <w:r w:rsidRPr="00404A69">
        <w:t>Zarah</w:t>
      </w:r>
      <w:proofErr w:type="spellEnd"/>
      <w:r w:rsidRPr="00404A69">
        <w:t xml:space="preserve"> also highlights that Social Constructionists </w:t>
      </w:r>
      <w:r w:rsidR="007A253D" w:rsidRPr="00404A69">
        <w:t>build</w:t>
      </w:r>
      <w:r w:rsidR="007A253D">
        <w:t xml:space="preserve"> </w:t>
      </w:r>
      <w:r w:rsidRPr="00404A69">
        <w:t xml:space="preserve">on social knowledge in her </w:t>
      </w:r>
      <w:r w:rsidR="007A253D" w:rsidRPr="00404A69">
        <w:t>example</w:t>
      </w:r>
      <w:r w:rsidRPr="00404A69">
        <w:t xml:space="preserve"> of the Acumen Fund (an organisation that we, admittedly, would not see as a social entrepreneur</w:t>
      </w:r>
      <w:r w:rsidR="007A253D">
        <w:t>, because there is no entrepreneurial risk</w:t>
      </w:r>
      <w:r w:rsidRPr="00404A69">
        <w:t xml:space="preserve">): She calls the </w:t>
      </w:r>
      <w:r w:rsidR="005D086E" w:rsidRPr="00404A69">
        <w:t>Social Constructionist an “</w:t>
      </w:r>
      <w:r w:rsidRPr="00404A69">
        <w:t>arbitrageur of knowledge</w:t>
      </w:r>
      <w:r w:rsidR="005D086E" w:rsidRPr="00404A69">
        <w:t>” – which</w:t>
      </w:r>
      <w:r w:rsidR="007A253D">
        <w:t>, incidentally,</w:t>
      </w:r>
      <w:r w:rsidR="005D086E" w:rsidRPr="00404A69">
        <w:t xml:space="preserve"> is a term coined by Hayek in “The use of </w:t>
      </w:r>
      <w:r w:rsidR="00337A25" w:rsidRPr="00404A69">
        <w:t>knowledge</w:t>
      </w:r>
      <w:r w:rsidR="005D086E" w:rsidRPr="00404A69">
        <w:t xml:space="preserve"> in society”</w:t>
      </w:r>
      <w:r w:rsidR="007A253D">
        <w:t xml:space="preserve"> in 1945</w:t>
      </w:r>
      <w:r w:rsidRPr="00404A69">
        <w:t xml:space="preserve">. </w:t>
      </w:r>
      <w:proofErr w:type="spellStart"/>
      <w:r w:rsidR="007A253D">
        <w:t>Zarah</w:t>
      </w:r>
      <w:proofErr w:type="spellEnd"/>
      <w:r w:rsidR="005D086E" w:rsidRPr="00404A69">
        <w:t xml:space="preserve"> argues that this arbitrageur of knowledge “brings </w:t>
      </w:r>
      <w:r w:rsidRPr="00404A69">
        <w:t>appropriate</w:t>
      </w:r>
      <w:r w:rsidR="005D086E" w:rsidRPr="00404A69">
        <w:t xml:space="preserve"> </w:t>
      </w:r>
      <w:r w:rsidRPr="00404A69">
        <w:t>knowledge, skills and resources from two different locations together to solve a widespread but specific problem. Her organization appreciates and embraces the knowledge of local entrepreneurs to operate with</w:t>
      </w:r>
      <w:r w:rsidR="005D086E" w:rsidRPr="00404A69">
        <w:t>in existing local institutions.“(</w:t>
      </w:r>
      <w:proofErr w:type="gramStart"/>
      <w:r w:rsidR="005D086E" w:rsidRPr="00404A69">
        <w:t>p</w:t>
      </w:r>
      <w:proofErr w:type="gramEnd"/>
      <w:r w:rsidR="005D086E" w:rsidRPr="00404A69">
        <w:t xml:space="preserve"> </w:t>
      </w:r>
      <w:r w:rsidR="005D086E" w:rsidRPr="00404A69">
        <w:lastRenderedPageBreak/>
        <w:t xml:space="preserve">526). </w:t>
      </w:r>
      <w:r w:rsidR="007A253D">
        <w:t>For these reasons, we do not think that local knowledge is only important to the lowest level of social entrepreneur.</w:t>
      </w:r>
    </w:p>
    <w:p w14:paraId="08C00FBC" w14:textId="77777777" w:rsidR="00193771" w:rsidRPr="00404A69" w:rsidRDefault="006E238E" w:rsidP="006E238E">
      <w:r w:rsidRPr="00404A69">
        <w:t xml:space="preserve">@6: In our original submission, we explained in a footnote why PRIDE only Works with </w:t>
      </w:r>
      <w:r w:rsidR="00AA6456" w:rsidRPr="00404A69">
        <w:t>women</w:t>
      </w:r>
      <w:r w:rsidRPr="00404A69">
        <w:t>. Now, we transferred that to the main text (under Research setting) and included some extra lines on the topic.</w:t>
      </w:r>
    </w:p>
    <w:p w14:paraId="4B285339" w14:textId="77777777" w:rsidR="006E238E" w:rsidRPr="00404A69" w:rsidRDefault="006E238E" w:rsidP="006E238E">
      <w:r w:rsidRPr="00404A69">
        <w:t>@7:</w:t>
      </w:r>
      <w:r w:rsidR="00337A25">
        <w:t xml:space="preserve"> </w:t>
      </w:r>
      <w:r w:rsidR="004212FC">
        <w:t xml:space="preserve">I saw why you thought it was a bit muddled. I made it </w:t>
      </w:r>
      <w:proofErr w:type="gramStart"/>
      <w:r w:rsidR="004212FC">
        <w:t>more clear</w:t>
      </w:r>
      <w:proofErr w:type="gramEnd"/>
      <w:r w:rsidR="004212FC">
        <w:t xml:space="preserve"> now. </w:t>
      </w:r>
      <w:r w:rsidR="00A51D31">
        <w:t>The</w:t>
      </w:r>
      <w:r w:rsidR="004212FC">
        <w:t xml:space="preserve"> only point I did not follow up was the one on including a relational dimension. Although it is extremely important for entrepreneurship (in fact, we thought it important enough for a separate article, which will appear in </w:t>
      </w:r>
      <w:r w:rsidR="00153213" w:rsidRPr="00153213">
        <w:t>International Entrepre</w:t>
      </w:r>
      <w:r w:rsidR="00153213">
        <w:t xml:space="preserve">neurship and Management Journal), the knowledge needed to create, maintain and use networks can still be subdivided in either cognitive (e.g. the know-who) and affective (e.g., for lack of </w:t>
      </w:r>
      <w:proofErr w:type="spellStart"/>
      <w:r w:rsidR="00153213">
        <w:t>a</w:t>
      </w:r>
      <w:proofErr w:type="spellEnd"/>
      <w:r w:rsidR="00153213">
        <w:t xml:space="preserve"> clearer term, the ‘feel how’: experience social interaction and feel where what positions can be taken up). We did not see how we could include a relational dimension and keep within the word limit and make it clearer. Having said that, it is something we might follow up on. It is an interesting thought to distinguish three types of learning and see how they can be analytically separated.</w:t>
      </w:r>
    </w:p>
    <w:p w14:paraId="650D86D3" w14:textId="77777777" w:rsidR="006E238E" w:rsidRPr="00404A69" w:rsidRDefault="006E238E" w:rsidP="006E238E">
      <w:r w:rsidRPr="00404A69">
        <w:t>@8:</w:t>
      </w:r>
      <w:r w:rsidR="00153213">
        <w:t xml:space="preserve"> I adapted this, hopefully to such an extent that it can now bring across the </w:t>
      </w:r>
      <w:proofErr w:type="spellStart"/>
      <w:r w:rsidR="00153213">
        <w:t>piont</w:t>
      </w:r>
      <w:proofErr w:type="spellEnd"/>
      <w:r w:rsidR="00153213">
        <w:t xml:space="preserve"> we were trying to make.</w:t>
      </w:r>
      <w:bookmarkStart w:id="0" w:name="_GoBack"/>
      <w:bookmarkEnd w:id="0"/>
    </w:p>
    <w:sectPr w:rsidR="006E238E" w:rsidRPr="00404A69" w:rsidSect="0005782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E7E81" w14:textId="77777777" w:rsidR="004212FC" w:rsidRDefault="004212FC" w:rsidP="000472B6">
      <w:pPr>
        <w:spacing w:after="0" w:line="240" w:lineRule="auto"/>
      </w:pPr>
      <w:r>
        <w:separator/>
      </w:r>
    </w:p>
  </w:endnote>
  <w:endnote w:type="continuationSeparator" w:id="0">
    <w:p w14:paraId="0B4145E3" w14:textId="77777777" w:rsidR="004212FC" w:rsidRDefault="004212FC" w:rsidP="0004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A33AE" w14:textId="77777777" w:rsidR="004212FC" w:rsidRDefault="004212FC" w:rsidP="000472B6">
      <w:pPr>
        <w:spacing w:after="0" w:line="240" w:lineRule="auto"/>
      </w:pPr>
      <w:r>
        <w:separator/>
      </w:r>
    </w:p>
  </w:footnote>
  <w:footnote w:type="continuationSeparator" w:id="0">
    <w:p w14:paraId="29129890" w14:textId="77777777" w:rsidR="004212FC" w:rsidRDefault="004212FC" w:rsidP="00047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472B6"/>
    <w:rsid w:val="000472B6"/>
    <w:rsid w:val="0005782A"/>
    <w:rsid w:val="00061F17"/>
    <w:rsid w:val="00063915"/>
    <w:rsid w:val="00153213"/>
    <w:rsid w:val="00193771"/>
    <w:rsid w:val="00265158"/>
    <w:rsid w:val="002B5DCD"/>
    <w:rsid w:val="00337A25"/>
    <w:rsid w:val="00404A69"/>
    <w:rsid w:val="004212FC"/>
    <w:rsid w:val="005D086E"/>
    <w:rsid w:val="00601BF2"/>
    <w:rsid w:val="006E238E"/>
    <w:rsid w:val="007A253D"/>
    <w:rsid w:val="00813D7C"/>
    <w:rsid w:val="00A51D31"/>
    <w:rsid w:val="00AA6456"/>
    <w:rsid w:val="00B3412E"/>
    <w:rsid w:val="00DA0393"/>
    <w:rsid w:val="00DB7945"/>
    <w:rsid w:val="00ED53EC"/>
    <w:rsid w:val="00F3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25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472B6"/>
    <w:pPr>
      <w:spacing w:line="288" w:lineRule="auto"/>
      <w:jc w:val="both"/>
    </w:pPr>
    <w:rPr>
      <w:lang w:val="en-GB"/>
    </w:rPr>
  </w:style>
  <w:style w:type="paragraph" w:styleId="Kop1">
    <w:name w:val="heading 1"/>
    <w:basedOn w:val="Normaal"/>
    <w:next w:val="Normaal"/>
    <w:link w:val="Kop1Teken"/>
    <w:uiPriority w:val="99"/>
    <w:qFormat/>
    <w:rsid w:val="000472B6"/>
    <w:pPr>
      <w:keepNext/>
      <w:keepLines/>
      <w:spacing w:before="480" w:after="0"/>
      <w:jc w:val="left"/>
      <w:outlineLvl w:val="0"/>
    </w:pPr>
    <w:rPr>
      <w:rFonts w:ascii="Century Gothic" w:eastAsiaTheme="majorEastAsia" w:hAnsi="Century Gothic" w:cstheme="majorBidi"/>
      <w:b/>
      <w:bCs/>
      <w:color w:val="000000" w:themeColor="text1"/>
      <w:sz w:val="36"/>
      <w:szCs w:val="28"/>
    </w:rPr>
  </w:style>
  <w:style w:type="paragraph" w:styleId="Kop2">
    <w:name w:val="heading 2"/>
    <w:basedOn w:val="Normaal"/>
    <w:next w:val="Normaal"/>
    <w:link w:val="Kop2Teken"/>
    <w:uiPriority w:val="99"/>
    <w:unhideWhenUsed/>
    <w:qFormat/>
    <w:rsid w:val="000472B6"/>
    <w:pPr>
      <w:keepNext/>
      <w:keepLines/>
      <w:spacing w:before="360" w:after="0"/>
      <w:outlineLvl w:val="1"/>
    </w:pPr>
    <w:rPr>
      <w:rFonts w:ascii="Century Gothic" w:eastAsiaTheme="majorEastAsia" w:hAnsi="Century Gothic" w:cstheme="majorBidi"/>
      <w:b/>
      <w:bCs/>
      <w:color w:val="000000" w:themeColor="text1"/>
      <w:sz w:val="26"/>
      <w:szCs w:val="26"/>
    </w:rPr>
  </w:style>
  <w:style w:type="paragraph" w:styleId="Kop3">
    <w:name w:val="heading 3"/>
    <w:basedOn w:val="Normaal"/>
    <w:next w:val="Normaal"/>
    <w:link w:val="Kop3Teken"/>
    <w:uiPriority w:val="99"/>
    <w:unhideWhenUsed/>
    <w:qFormat/>
    <w:rsid w:val="000472B6"/>
    <w:pPr>
      <w:keepNext/>
      <w:keepLines/>
      <w:spacing w:before="200" w:after="0"/>
      <w:outlineLvl w:val="2"/>
    </w:pPr>
    <w:rPr>
      <w:rFonts w:ascii="Century Gothic" w:eastAsiaTheme="majorEastAsia" w:hAnsi="Century Gothic" w:cstheme="majorBidi"/>
      <w:b/>
      <w:bCs/>
      <w:color w:val="000000" w:themeColor="text1"/>
    </w:rPr>
  </w:style>
  <w:style w:type="paragraph" w:styleId="Kop4">
    <w:name w:val="heading 4"/>
    <w:basedOn w:val="Normaal"/>
    <w:next w:val="Normaal"/>
    <w:link w:val="Kop4Teken"/>
    <w:uiPriority w:val="99"/>
    <w:unhideWhenUsed/>
    <w:qFormat/>
    <w:rsid w:val="000472B6"/>
    <w:pPr>
      <w:keepNext/>
      <w:keepLines/>
      <w:spacing w:before="200" w:after="0"/>
      <w:outlineLvl w:val="3"/>
    </w:pPr>
    <w:rPr>
      <w:rFonts w:ascii="Century Gothic" w:eastAsiaTheme="majorEastAsia" w:hAnsi="Century Gothic" w:cstheme="majorBidi"/>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rsid w:val="000472B6"/>
    <w:rPr>
      <w:rFonts w:ascii="Century Gothic" w:eastAsiaTheme="majorEastAsia" w:hAnsi="Century Gothic" w:cstheme="majorBidi"/>
      <w:b/>
      <w:bCs/>
      <w:color w:val="000000" w:themeColor="text1"/>
      <w:sz w:val="36"/>
      <w:szCs w:val="28"/>
      <w:lang w:val="en-GB"/>
    </w:rPr>
  </w:style>
  <w:style w:type="character" w:customStyle="1" w:styleId="Kop2Teken">
    <w:name w:val="Kop 2 Teken"/>
    <w:basedOn w:val="Standaardalinea-lettertype"/>
    <w:link w:val="Kop2"/>
    <w:uiPriority w:val="99"/>
    <w:rsid w:val="000472B6"/>
    <w:rPr>
      <w:rFonts w:ascii="Century Gothic" w:eastAsiaTheme="majorEastAsia" w:hAnsi="Century Gothic" w:cstheme="majorBidi"/>
      <w:b/>
      <w:bCs/>
      <w:color w:val="000000" w:themeColor="text1"/>
      <w:sz w:val="26"/>
      <w:szCs w:val="26"/>
      <w:lang w:val="en-GB"/>
    </w:rPr>
  </w:style>
  <w:style w:type="character" w:customStyle="1" w:styleId="Kop3Teken">
    <w:name w:val="Kop 3 Teken"/>
    <w:basedOn w:val="Standaardalinea-lettertype"/>
    <w:link w:val="Kop3"/>
    <w:uiPriority w:val="99"/>
    <w:rsid w:val="000472B6"/>
    <w:rPr>
      <w:rFonts w:ascii="Century Gothic" w:eastAsiaTheme="majorEastAsia" w:hAnsi="Century Gothic" w:cstheme="majorBidi"/>
      <w:b/>
      <w:bCs/>
      <w:color w:val="000000" w:themeColor="text1"/>
      <w:lang w:val="en-GB"/>
    </w:rPr>
  </w:style>
  <w:style w:type="character" w:customStyle="1" w:styleId="Kop4Teken">
    <w:name w:val="Kop 4 Teken"/>
    <w:basedOn w:val="Standaardalinea-lettertype"/>
    <w:link w:val="Kop4"/>
    <w:uiPriority w:val="99"/>
    <w:rsid w:val="000472B6"/>
    <w:rPr>
      <w:rFonts w:ascii="Century Gothic" w:eastAsiaTheme="majorEastAsia" w:hAnsi="Century Gothic" w:cstheme="majorBidi"/>
      <w:bCs/>
      <w:iCs/>
      <w:lang w:val="en-GB"/>
    </w:rPr>
  </w:style>
  <w:style w:type="paragraph" w:styleId="Voetnoottekst">
    <w:name w:val="footnote text"/>
    <w:basedOn w:val="Normaal"/>
    <w:link w:val="VoetnoottekstTeken"/>
    <w:uiPriority w:val="99"/>
    <w:rsid w:val="000472B6"/>
    <w:pPr>
      <w:spacing w:beforeLines="1" w:afterLines="1" w:line="240" w:lineRule="auto"/>
    </w:pPr>
    <w:rPr>
      <w:rFonts w:ascii="Calibri" w:eastAsia="MS ??" w:hAnsi="Calibri" w:cs="Arial"/>
      <w:color w:val="000000"/>
      <w:sz w:val="20"/>
      <w:szCs w:val="20"/>
    </w:rPr>
  </w:style>
  <w:style w:type="character" w:customStyle="1" w:styleId="VoetnoottekstTeken">
    <w:name w:val="Voetnoottekst Teken"/>
    <w:basedOn w:val="Standaardalinea-lettertype"/>
    <w:link w:val="Voetnoottekst"/>
    <w:uiPriority w:val="99"/>
    <w:rsid w:val="000472B6"/>
    <w:rPr>
      <w:rFonts w:ascii="Calibri" w:eastAsia="MS ??" w:hAnsi="Calibri" w:cs="Arial"/>
      <w:color w:val="000000"/>
      <w:sz w:val="20"/>
      <w:szCs w:val="20"/>
      <w:lang w:val="en-GB"/>
    </w:rPr>
  </w:style>
  <w:style w:type="character" w:styleId="Voetnootmarkering">
    <w:name w:val="footnote reference"/>
    <w:basedOn w:val="Standaardalinea-lettertype"/>
    <w:uiPriority w:val="99"/>
    <w:rsid w:val="000472B6"/>
    <w:rPr>
      <w:rFonts w:cs="Times New Roman"/>
      <w:vertAlign w:val="superscript"/>
    </w:rPr>
  </w:style>
  <w:style w:type="paragraph" w:styleId="Bijschrift">
    <w:name w:val="caption"/>
    <w:basedOn w:val="Normaal"/>
    <w:next w:val="Normaal"/>
    <w:uiPriority w:val="99"/>
    <w:qFormat/>
    <w:rsid w:val="000472B6"/>
    <w:pPr>
      <w:spacing w:line="240" w:lineRule="auto"/>
    </w:pPr>
    <w:rPr>
      <w:rFonts w:ascii="Calibri" w:eastAsia="Calibri" w:hAnsi="Calibri" w:cs="Times New Roman"/>
      <w:b/>
      <w:bCs/>
      <w:color w:val="7F7F7F" w:themeColor="text1" w:themeTint="80"/>
      <w:sz w:val="20"/>
      <w:szCs w:val="18"/>
    </w:rPr>
  </w:style>
  <w:style w:type="paragraph" w:styleId="Ballontekst">
    <w:name w:val="Balloon Text"/>
    <w:basedOn w:val="Normaal"/>
    <w:link w:val="BallontekstTeken"/>
    <w:uiPriority w:val="99"/>
    <w:semiHidden/>
    <w:unhideWhenUsed/>
    <w:rsid w:val="000472B6"/>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472B6"/>
    <w:rPr>
      <w:rFonts w:ascii="Tahoma" w:hAnsi="Tahoma" w:cs="Tahoma"/>
      <w:sz w:val="16"/>
      <w:szCs w:val="16"/>
      <w:lang w:val="en-GB"/>
    </w:rPr>
  </w:style>
  <w:style w:type="paragraph" w:styleId="Normaalweb">
    <w:name w:val="Normal (Web)"/>
    <w:basedOn w:val="Normaal"/>
    <w:uiPriority w:val="99"/>
    <w:semiHidden/>
    <w:unhideWhenUsed/>
    <w:rsid w:val="000472B6"/>
    <w:pPr>
      <w:spacing w:before="100" w:beforeAutospacing="1" w:after="100" w:afterAutospacing="1" w:line="240" w:lineRule="auto"/>
      <w:jc w:val="left"/>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B863B-06F0-9E41-A144-AB59F06A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681</Words>
  <Characters>3746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Maas</dc:creator>
  <cp:keywords/>
  <dc:description/>
  <cp:lastModifiedBy>Jeroen Maas</cp:lastModifiedBy>
  <cp:revision>10</cp:revision>
  <dcterms:created xsi:type="dcterms:W3CDTF">2013-10-18T09:07:00Z</dcterms:created>
  <dcterms:modified xsi:type="dcterms:W3CDTF">2013-10-23T18:26:00Z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jeroen.maas@vu.nl@www.mendeley.com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(AMA)</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